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5C" w:rsidRPr="00C31E22" w:rsidRDefault="0009625C" w:rsidP="001846B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16"/>
          <w:szCs w:val="16"/>
          <w:lang w:val="uk-UA"/>
        </w:rPr>
      </w:pPr>
      <w:bookmarkStart w:id="0" w:name="_GoBack"/>
      <w:bookmarkEnd w:id="0"/>
      <w:r w:rsidRPr="00C31E22">
        <w:rPr>
          <w:rFonts w:cstheme="minorHAnsi"/>
          <w:b/>
          <w:noProof/>
          <w:color w:val="212121"/>
          <w:sz w:val="16"/>
          <w:szCs w:val="16"/>
          <w:shd w:val="clear" w:color="auto" w:fill="FFFFFF"/>
          <w:lang w:val="en-US" w:eastAsia="en-US"/>
        </w:rPr>
        <w:drawing>
          <wp:inline distT="0" distB="0" distL="0" distR="0" wp14:anchorId="536284D1" wp14:editId="058E35A6">
            <wp:extent cx="1485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      </w:t>
      </w:r>
      <w:r w:rsidRPr="00C31E22">
        <w:rPr>
          <w:rFonts w:ascii="inherit" w:hAnsi="inherit"/>
          <w:b/>
          <w:color w:val="212121"/>
          <w:sz w:val="16"/>
          <w:szCs w:val="16"/>
          <w:lang w:val="uk-UA"/>
        </w:rPr>
        <w:t>Технічні умови і вимоги до якості деталей з плити AGT</w:t>
      </w:r>
    </w:p>
    <w:p w:rsidR="0009625C" w:rsidRPr="00C31E22" w:rsidRDefault="0009625C" w:rsidP="001846B7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16"/>
          <w:szCs w:val="16"/>
          <w:lang w:val="uk-UA"/>
        </w:rPr>
      </w:pPr>
    </w:p>
    <w:p w:rsidR="000271B9" w:rsidRPr="00C31E22" w:rsidRDefault="00AF2B4A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Панелі AGT: верхній шар </w:t>
      </w:r>
      <w:r w:rsidR="001846B7" w:rsidRPr="00C31E22">
        <w:rPr>
          <w:rFonts w:cstheme="minorHAnsi"/>
          <w:b/>
          <w:color w:val="212121"/>
          <w:sz w:val="16"/>
          <w:szCs w:val="16"/>
          <w:lang w:val="uk-UA"/>
        </w:rPr>
        <w:t>–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високоглянцева </w:t>
      </w:r>
      <w:r w:rsidR="00AC2EC3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або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суперматова щільна плівка ПВХ</w:t>
      </w:r>
      <w:r w:rsidR="006631B4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;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</w:t>
      </w:r>
      <w:r w:rsidR="006631B4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з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воротна сторона </w:t>
      </w:r>
      <w:r w:rsidR="001846B7" w:rsidRPr="00C31E22">
        <w:rPr>
          <w:rFonts w:cstheme="minorHAnsi"/>
          <w:b/>
          <w:color w:val="212121"/>
          <w:sz w:val="16"/>
          <w:szCs w:val="16"/>
          <w:lang w:val="uk-UA"/>
        </w:rPr>
        <w:t>–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біла матова ламінація. Якість деталей </w:t>
      </w:r>
      <w:r w:rsidR="00C8446D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повинна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відповідати вимогам нормативно</w:t>
      </w:r>
      <w:r w:rsidR="001846B7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-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технічн</w:t>
      </w:r>
      <w:r w:rsidR="00C8446D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ої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документації, а саме</w:t>
      </w:r>
      <w:r w:rsidR="00AC2EC3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>: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EN 14322, EN 438, EN 323, EN 324.</w:t>
      </w:r>
      <w:r w:rsidR="001846B7" w:rsidRPr="00C31E22">
        <w:rPr>
          <w:rFonts w:asciiTheme="minorHAnsi" w:hAnsiTheme="minorHAnsi"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</w:t>
      </w:r>
    </w:p>
    <w:p w:rsidR="00AC2EC3" w:rsidRPr="00C31E22" w:rsidRDefault="00AC2EC3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16"/>
          <w:szCs w:val="16"/>
          <w:lang w:val="uk-UA" w:eastAsia="ru-RU"/>
        </w:rPr>
      </w:pP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b/>
          <w:color w:val="212121"/>
          <w:sz w:val="16"/>
          <w:szCs w:val="16"/>
          <w:lang w:val="uk-UA" w:eastAsia="ru-RU"/>
        </w:rPr>
        <w:t>1. Суб'єктивна оцінка дефектів</w:t>
      </w:r>
      <w:r w:rsidR="001846B7" w:rsidRPr="00C31E22">
        <w:rPr>
          <w:rFonts w:eastAsia="Times New Roman" w:cstheme="minorHAnsi"/>
          <w:b/>
          <w:color w:val="212121"/>
          <w:sz w:val="16"/>
          <w:szCs w:val="16"/>
          <w:lang w:val="uk-UA" w:eastAsia="ru-RU"/>
        </w:rPr>
        <w:t xml:space="preserve"> </w:t>
      </w:r>
    </w:p>
    <w:p w:rsidR="00AF2B4A" w:rsidRPr="00C31E22" w:rsidRDefault="001846B7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У</w:t>
      </w:r>
      <w:r w:rsidR="00AF2B4A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сі суб'єктивні дефекти (горби, вкраплення, вм'ятини, відхилення по краю, плями) повинні оцінюватися </w:t>
      </w:r>
      <w:r w:rsidR="00AC2EC3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описаним нижче </w:t>
      </w:r>
      <w:r w:rsidR="00AF2B4A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методом.</w:t>
      </w: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Умови для оцінки дефектів:</w:t>
      </w: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• Положення: встановлене положення </w:t>
      </w:r>
      <w:r w:rsidR="00AC2EC3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–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вертикальне</w:t>
      </w:r>
      <w:r w:rsidR="00AC2EC3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. </w:t>
      </w: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• Світло: флуоресцентні лампи потужністю 6500°К, розсіяне світло або денне освітлення (без потрапляння прямих сонячних променів)</w:t>
      </w:r>
      <w:r w:rsidR="00AC2EC3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. </w:t>
      </w: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• Кут огляду: 90° або 45° (справа або зліва, не знизу і не зверху</w:t>
      </w:r>
      <w:r w:rsidR="00CF5844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) до</w:t>
      </w:r>
      <w:r w:rsidR="00AC2EC3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поверхні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.</w:t>
      </w:r>
      <w:r w:rsidR="00AC2EC3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</w:t>
      </w: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• Дистанція: 0</w:t>
      </w:r>
      <w:r w:rsidR="001846B7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,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5 м.</w:t>
      </w:r>
    </w:p>
    <w:p w:rsidR="00AF2B4A" w:rsidRPr="00C31E22" w:rsidRDefault="00AF2B4A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</w:p>
    <w:p w:rsidR="00CF5844" w:rsidRPr="00C31E22" w:rsidRDefault="00CF5844" w:rsidP="001846B7">
      <w:pPr>
        <w:jc w:val="both"/>
        <w:rPr>
          <w:rFonts w:cstheme="minorHAnsi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sz w:val="16"/>
          <w:szCs w:val="16"/>
          <w:shd w:val="clear" w:color="auto" w:fill="FFFFFF"/>
          <w:lang w:val="uk-UA"/>
        </w:rPr>
        <w:t xml:space="preserve">Дефекти, невидимі при зазначених вище умовах, але помітні на дотик або візуально в горизонтальній позиції або з меншої відстані, будуть розцінюватися як допустимі. </w:t>
      </w:r>
    </w:p>
    <w:p w:rsidR="00AF2B4A" w:rsidRPr="00C31E22" w:rsidRDefault="00AF2B4A" w:rsidP="001846B7">
      <w:pPr>
        <w:jc w:val="both"/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>2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. </w:t>
      </w:r>
      <w:r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>Допустим</w:t>
      </w:r>
      <w:r w:rsidR="001E7843"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>і</w:t>
      </w:r>
      <w:r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відхилення від якості на лицьовій стороні виробу (деталі)</w:t>
      </w:r>
      <w:r w:rsidR="001E7843"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>,</w:t>
      </w:r>
      <w:r w:rsidR="001846B7"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</w:t>
      </w:r>
      <w:r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>не більше одного дефекту на одній деталі</w:t>
      </w:r>
      <w:r w:rsidR="006272EB"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 </w:t>
      </w:r>
    </w:p>
    <w:p w:rsidR="00D20D28" w:rsidRPr="00C31E22" w:rsidRDefault="00F62139" w:rsidP="00F40278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Горби </w:t>
      </w:r>
    </w:p>
    <w:p w:rsidR="00F62139" w:rsidRPr="00C31E22" w:rsidRDefault="00D20D28" w:rsidP="002F4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На одній деталі 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допускається 2 </w:t>
      </w:r>
      <w:r w:rsidR="001B3322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горби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розміром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не більше 3 мм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(при 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відстані між ними не менше 25 </w:t>
      </w:r>
      <w:r w:rsidR="00F62139" w:rsidRPr="00C31E22">
        <w:rPr>
          <w:rFonts w:eastAsia="Times New Roman" w:cstheme="minorHAnsi"/>
          <w:sz w:val="16"/>
          <w:szCs w:val="16"/>
          <w:lang w:val="uk-UA" w:eastAsia="ru-RU"/>
        </w:rPr>
        <w:t>см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)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, які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в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идимі при фронтальному огляді з відстані 0,5 м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 п</w:t>
      </w:r>
      <w:r w:rsidR="00F62139"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>ротягом 30 секунд без застосування збільшувальних засобів</w:t>
      </w:r>
      <w:r w:rsidRPr="00C31E22">
        <w:rPr>
          <w:rFonts w:eastAsia="Times New Roman" w:cstheme="minorHAnsi"/>
          <w:color w:val="212121"/>
          <w:sz w:val="16"/>
          <w:szCs w:val="16"/>
          <w:lang w:val="uk-UA" w:eastAsia="ru-RU"/>
        </w:rPr>
        <w:t xml:space="preserve">. </w:t>
      </w:r>
    </w:p>
    <w:p w:rsidR="00F62139" w:rsidRPr="00C31E22" w:rsidRDefault="00F62139" w:rsidP="00184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16"/>
          <w:szCs w:val="16"/>
          <w:lang w:val="uk-UA" w:eastAsia="ru-RU"/>
        </w:rPr>
      </w:pPr>
    </w:p>
    <w:p w:rsidR="00F62139" w:rsidRPr="00C31E22" w:rsidRDefault="00F62139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Якщо площа однієї деталі 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становить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1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bookmarkStart w:id="1" w:name="_Hlk5894510"/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м², </w:t>
      </w:r>
      <w:bookmarkEnd w:id="1"/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на 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ній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допускається 2 </w:t>
      </w:r>
      <w:r w:rsidR="001B3322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горби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(максимум 3 мм, відстан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ь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між ними 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–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не менше 25</w:t>
      </w:r>
      <w:r w:rsidR="002D766D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="00461044" w:rsidRPr="00C31E22">
        <w:rPr>
          <w:rFonts w:asciiTheme="minorHAnsi" w:hAnsiTheme="minorHAnsi" w:cstheme="minorHAnsi"/>
          <w:sz w:val="16"/>
          <w:szCs w:val="16"/>
          <w:lang w:val="uk-UA"/>
        </w:rPr>
        <w:t>см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)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,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видимі при фронтальному огляді з відстані 0,5 м протягом 30 секунд без застосування збільшувальних засобів</w:t>
      </w:r>
      <w:r w:rsidR="00D20D2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. </w:t>
      </w:r>
    </w:p>
    <w:p w:rsidR="00F62139" w:rsidRPr="00C31E22" w:rsidRDefault="00F62139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F62139" w:rsidRPr="00C31E22" w:rsidRDefault="00F62139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Якщо площа однієї деталі 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менше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1 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м²,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на 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ній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допускається 1 </w:t>
      </w:r>
      <w:r w:rsidR="001B3322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горб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(максимум 3 мм), видим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ий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при фронтальному огляді з відстані 0,5 м протягом 30 секунд без застосування збільшувальних засобів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.</w:t>
      </w:r>
    </w:p>
    <w:p w:rsidR="00605F6B" w:rsidRPr="00C31E22" w:rsidRDefault="00605F6B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605F6B" w:rsidRPr="00C31E22" w:rsidRDefault="00605F6B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Якщо площа однієї деталі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більше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1 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м², </w:t>
      </w:r>
      <w:r w:rsidR="001B3322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на 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ній</w:t>
      </w:r>
      <w:r w:rsidR="001B3322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допускається 3 горби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(максимум 3 мм, відстан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і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між ними 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–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не менше 25</w:t>
      </w:r>
      <w:r w:rsidR="00D51D9C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="00461044" w:rsidRPr="00C31E22">
        <w:rPr>
          <w:rFonts w:asciiTheme="minorHAnsi" w:hAnsiTheme="minorHAnsi" w:cstheme="minorHAnsi"/>
          <w:sz w:val="16"/>
          <w:szCs w:val="16"/>
          <w:lang w:val="uk-UA"/>
        </w:rPr>
        <w:t>см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)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,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видимі при фронтальному огляді з відстані 0,5 м протягом 30 секунд без застосування збільшувальних засобів.</w:t>
      </w:r>
    </w:p>
    <w:p w:rsidR="00605F6B" w:rsidRPr="00C31E22" w:rsidRDefault="00605F6B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605F6B" w:rsidRPr="00C31E22" w:rsidRDefault="00605F6B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Якщо площа однієї деталі </w:t>
      </w:r>
      <w:r w:rsidR="002D766D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більше 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або </w:t>
      </w:r>
      <w:r w:rsidR="002D766D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дорівнює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2 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м², на ній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допускається 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4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горби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(максимум 3 мм, відстан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і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між ними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–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не менше 25</w:t>
      </w:r>
      <w:r w:rsidR="00461044" w:rsidRPr="00C31E22">
        <w:rPr>
          <w:rFonts w:asciiTheme="minorHAnsi" w:hAnsiTheme="minorHAnsi" w:cstheme="minorHAnsi"/>
          <w:sz w:val="16"/>
          <w:szCs w:val="16"/>
          <w:lang w:val="uk-UA"/>
        </w:rPr>
        <w:t xml:space="preserve"> см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)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, видимі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при фронтальному огляді з відстані 0,5 м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п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ротягом 30 секунд без застосування збільшувальних засобів.</w:t>
      </w:r>
      <w:r w:rsidR="002F444F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="002D766D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</w:p>
    <w:p w:rsidR="00605F6B" w:rsidRPr="00C31E22" w:rsidRDefault="00605F6B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C8446D" w:rsidRPr="00C31E22" w:rsidRDefault="00605F6B" w:rsidP="001846B7">
      <w:pPr>
        <w:pStyle w:val="ListParagraph"/>
        <w:numPr>
          <w:ilvl w:val="0"/>
          <w:numId w:val="6"/>
        </w:numPr>
        <w:jc w:val="both"/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Вм'ятини </w:t>
      </w:r>
    </w:p>
    <w:p w:rsidR="00F62139" w:rsidRPr="00C31E22" w:rsidRDefault="00C8446D" w:rsidP="00C8446D">
      <w:pPr>
        <w:pStyle w:val="ListParagraph"/>
        <w:ind w:left="1080"/>
        <w:jc w:val="both"/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На одній деталі </w:t>
      </w:r>
      <w:r w:rsidR="00605F6B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допускається 1 вм'ятина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розміром </w:t>
      </w:r>
      <w:r w:rsidR="00605F6B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не більше 5 мм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, </w:t>
      </w:r>
      <w:r w:rsidR="00605F6B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яка видима при фронтальному огляді з відстані 0,5 м 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п</w:t>
      </w:r>
      <w:r w:rsidR="00605F6B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ротягом 30 секунд без застосування збільшувальних засобів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. </w:t>
      </w:r>
    </w:p>
    <w:p w:rsidR="00605F6B" w:rsidRPr="00C31E22" w:rsidRDefault="00605F6B" w:rsidP="001846B7">
      <w:pPr>
        <w:jc w:val="both"/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Якщо площа однієї деталі </w:t>
      </w:r>
      <w:r w:rsidR="00B703D7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менше </w:t>
      </w:r>
      <w:r w:rsidR="002D766D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або дорівнює 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1</w:t>
      </w:r>
      <w:r w:rsidR="00B703D7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</w:t>
      </w:r>
      <w:r w:rsidR="00B703D7" w:rsidRPr="00C31E22">
        <w:rPr>
          <w:rFonts w:cstheme="minorHAnsi"/>
          <w:color w:val="212121"/>
          <w:sz w:val="16"/>
          <w:szCs w:val="16"/>
          <w:lang w:val="uk-UA"/>
        </w:rPr>
        <w:t>м²,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допускається </w:t>
      </w:r>
      <w:r w:rsidR="00B703D7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1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вм'ятина (не більш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е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5 мм)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,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видима при фронтальному огляді з відстані 0,5 м протягом 30 секунд без застосування збільшувальних засобів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. </w:t>
      </w:r>
      <w:r w:rsidR="002D766D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</w:t>
      </w:r>
    </w:p>
    <w:p w:rsidR="00605F6B" w:rsidRPr="00C31E22" w:rsidRDefault="00605F6B" w:rsidP="001846B7">
      <w:pPr>
        <w:jc w:val="both"/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Якщо площа однієї деталі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більше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1 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м², 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на 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ній</w:t>
      </w:r>
      <w:r w:rsidR="001846B7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</w:t>
      </w:r>
      <w:r w:rsidR="002D766D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допускається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2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вм'ятини (не більш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е 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5 мм)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>,</w:t>
      </w:r>
      <w:r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видимі при фронтальному огляді з відстані 0,5 м протягом 30 секунд без застосування збільшувальних засобів.</w:t>
      </w:r>
      <w:r w:rsidR="00F40278" w:rsidRPr="00C31E22">
        <w:rPr>
          <w:rFonts w:cstheme="minorHAnsi"/>
          <w:color w:val="212121"/>
          <w:sz w:val="16"/>
          <w:szCs w:val="16"/>
          <w:shd w:val="clear" w:color="auto" w:fill="FFFFFF"/>
          <w:lang w:val="uk-UA"/>
        </w:rPr>
        <w:t xml:space="preserve"> </w:t>
      </w:r>
    </w:p>
    <w:p w:rsidR="00CC6331" w:rsidRPr="00C31E22" w:rsidRDefault="00CC6331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Якщо площа однієї деталі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більше або дорівнює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2 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м², на ній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допускається 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3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вм'ятини (максимум 5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мм)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,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видимі при фронтальному огляді з відстані 0,5 м протягом 30 секунд без застосування збільшувальних засобів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.</w:t>
      </w:r>
    </w:p>
    <w:p w:rsidR="00F40278" w:rsidRPr="00C31E22" w:rsidRDefault="00F40278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F40278" w:rsidRPr="00C31E22" w:rsidRDefault="00CC6331" w:rsidP="001846B7">
      <w:pPr>
        <w:pStyle w:val="HTMLPreformatted"/>
        <w:numPr>
          <w:ilvl w:val="0"/>
          <w:numId w:val="6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Відблиски </w:t>
      </w:r>
    </w:p>
    <w:p w:rsidR="00CC6331" w:rsidRPr="00C31E22" w:rsidRDefault="00F40278" w:rsidP="00F40278">
      <w:pPr>
        <w:pStyle w:val="HTMLPreformatted"/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ab/>
        <w:t>Д</w:t>
      </w:r>
      <w:r w:rsidR="00CC6331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опустимі неявні відблиски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,</w:t>
      </w:r>
      <w:r w:rsidR="00CC6331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якщо дивитися під кутом 45° на відстані від 60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</w:t>
      </w:r>
      <w:r w:rsidR="00CC6331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см.</w:t>
      </w:r>
    </w:p>
    <w:p w:rsidR="00CC6331" w:rsidRPr="00C31E22" w:rsidRDefault="00CC6331" w:rsidP="001846B7">
      <w:pPr>
        <w:pStyle w:val="HTMLPreformatted"/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CC6331" w:rsidRPr="00C31E22" w:rsidRDefault="00CC6331" w:rsidP="001846B7">
      <w:pPr>
        <w:pStyle w:val="HTMLPreformatted"/>
        <w:numPr>
          <w:ilvl w:val="0"/>
          <w:numId w:val="6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>«Шагрень» з відхиленням від площі не більше</w:t>
      </w:r>
      <w:r w:rsidR="0009625C"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 xml:space="preserve"> 0,05 мм (ледь 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>помітна</w:t>
      </w:r>
      <w:r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 xml:space="preserve"> за умов 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>оцінки дефектів</w:t>
      </w:r>
      <w:r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>)</w:t>
      </w:r>
      <w:r w:rsidR="00F40278" w:rsidRPr="00C31E22">
        <w:rPr>
          <w:rFonts w:asciiTheme="minorHAnsi" w:hAnsiTheme="minorHAnsi" w:cstheme="minorHAnsi"/>
          <w:color w:val="212121"/>
          <w:sz w:val="16"/>
          <w:szCs w:val="16"/>
          <w:shd w:val="clear" w:color="auto" w:fill="FFFFFF"/>
          <w:lang w:val="uk-UA"/>
        </w:rPr>
        <w:t>.</w:t>
      </w:r>
    </w:p>
    <w:p w:rsidR="00CC6331" w:rsidRPr="00C31E22" w:rsidRDefault="00CC6331" w:rsidP="001846B7">
      <w:pPr>
        <w:pStyle w:val="HTMLPreformatted"/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color w:val="212121"/>
          <w:sz w:val="16"/>
          <w:szCs w:val="16"/>
          <w:lang w:val="uk-UA"/>
        </w:rPr>
      </w:pPr>
    </w:p>
    <w:p w:rsidR="00CC6331" w:rsidRPr="00C31E22" w:rsidRDefault="00CC6331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b/>
          <w:color w:val="212121"/>
          <w:sz w:val="16"/>
          <w:szCs w:val="16"/>
          <w:lang w:val="uk-UA"/>
        </w:rPr>
        <w:t>3. НЕ</w:t>
      </w:r>
      <w:r w:rsidR="002D766D" w:rsidRPr="00C31E22">
        <w:rPr>
          <w:rFonts w:asciiTheme="minorHAnsi" w:hAnsiTheme="minorHAnsi" w:cstheme="minorHAnsi"/>
          <w:b/>
          <w:color w:val="212121"/>
          <w:sz w:val="16"/>
          <w:szCs w:val="16"/>
          <w:lang w:val="uk-UA"/>
        </w:rPr>
        <w:t xml:space="preserve"> </w:t>
      </w:r>
      <w:r w:rsidRPr="00C31E22">
        <w:rPr>
          <w:rFonts w:asciiTheme="minorHAnsi" w:hAnsiTheme="minorHAnsi" w:cstheme="minorHAnsi"/>
          <w:b/>
          <w:color w:val="212121"/>
          <w:sz w:val="16"/>
          <w:szCs w:val="16"/>
          <w:lang w:val="uk-UA"/>
        </w:rPr>
        <w:t>допустимі відхилення від якості на лицьовій стороні виробу (деталі)</w:t>
      </w:r>
      <w:r w:rsidR="001E7843" w:rsidRPr="00C31E22">
        <w:rPr>
          <w:rFonts w:asciiTheme="minorHAnsi" w:hAnsiTheme="minorHAnsi" w:cstheme="minorHAnsi"/>
          <w:b/>
          <w:color w:val="212121"/>
          <w:sz w:val="16"/>
          <w:szCs w:val="16"/>
          <w:lang w:val="uk-UA"/>
        </w:rPr>
        <w:t xml:space="preserve"> </w:t>
      </w:r>
    </w:p>
    <w:p w:rsidR="001E7843" w:rsidRPr="00C31E22" w:rsidRDefault="001E7843" w:rsidP="001846B7">
      <w:pPr>
        <w:pStyle w:val="HTMLPreformatted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6"/>
          <w:szCs w:val="16"/>
          <w:lang w:val="uk-UA"/>
        </w:rPr>
      </w:pPr>
    </w:p>
    <w:p w:rsidR="00CC6331" w:rsidRPr="00C31E22" w:rsidRDefault="001E7843" w:rsidP="001846B7">
      <w:pPr>
        <w:pStyle w:val="HTMLPreformatted"/>
        <w:numPr>
          <w:ilvl w:val="0"/>
          <w:numId w:val="6"/>
        </w:numPr>
        <w:shd w:val="clear" w:color="auto" w:fill="FFFFFF"/>
        <w:jc w:val="both"/>
        <w:rPr>
          <w:rFonts w:cstheme="minorHAnsi"/>
          <w:color w:val="212121"/>
          <w:sz w:val="16"/>
          <w:szCs w:val="16"/>
          <w:lang w:val="uk-UA"/>
        </w:rPr>
      </w:pP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У</w:t>
      </w:r>
      <w:r w:rsidR="00CC6331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сі дефекти, які не описані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у</w:t>
      </w:r>
      <w:r w:rsidR="00CC6331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 xml:space="preserve"> пункті 2 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«</w:t>
      </w:r>
      <w:r w:rsidR="00CC6331"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Допустимі відхилення від якості на лицьовій стороні виробу (деталі)»</w:t>
      </w:r>
      <w:r w:rsidRPr="00C31E22">
        <w:rPr>
          <w:rFonts w:asciiTheme="minorHAnsi" w:hAnsiTheme="minorHAnsi" w:cstheme="minorHAnsi"/>
          <w:color w:val="212121"/>
          <w:sz w:val="16"/>
          <w:szCs w:val="16"/>
          <w:lang w:val="uk-UA"/>
        </w:rPr>
        <w:t>.</w:t>
      </w:r>
    </w:p>
    <w:p w:rsidR="00134DE3" w:rsidRPr="00C31E22" w:rsidRDefault="00134DE3" w:rsidP="001E7843">
      <w:pPr>
        <w:jc w:val="both"/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</w:pPr>
      <w:r w:rsidRPr="00C31E22">
        <w:rPr>
          <w:rFonts w:cstheme="minorHAnsi"/>
          <w:b/>
          <w:color w:val="212121"/>
          <w:sz w:val="16"/>
          <w:szCs w:val="16"/>
          <w:shd w:val="clear" w:color="auto" w:fill="FFFFFF"/>
          <w:lang w:val="uk-UA"/>
        </w:rPr>
        <w:t xml:space="preserve">4. Допустимі відхилення на тильній стороні виробу (деталі) </w:t>
      </w:r>
    </w:p>
    <w:p w:rsidR="00CC6331" w:rsidRPr="001E7843" w:rsidRDefault="00134DE3" w:rsidP="001846B7">
      <w:pPr>
        <w:ind w:left="720"/>
        <w:jc w:val="both"/>
        <w:rPr>
          <w:rFonts w:cstheme="minorHAnsi"/>
          <w:color w:val="212121"/>
          <w:sz w:val="18"/>
          <w:szCs w:val="18"/>
          <w:lang w:val="uk-UA"/>
        </w:rPr>
      </w:pPr>
      <w:r w:rsidRPr="001E7843">
        <w:rPr>
          <w:rFonts w:cstheme="minorHAnsi"/>
          <w:color w:val="212121"/>
          <w:sz w:val="18"/>
          <w:szCs w:val="18"/>
          <w:shd w:val="clear" w:color="auto" w:fill="FFFFFF"/>
          <w:lang w:val="uk-UA"/>
        </w:rPr>
        <w:t xml:space="preserve">• </w:t>
      </w:r>
      <w:r w:rsidR="00CF5844">
        <w:rPr>
          <w:rFonts w:cstheme="minorHAnsi"/>
          <w:color w:val="212121"/>
          <w:sz w:val="18"/>
          <w:szCs w:val="18"/>
          <w:shd w:val="clear" w:color="auto" w:fill="FFFFFF"/>
          <w:lang w:val="uk-UA"/>
        </w:rPr>
        <w:t>Д</w:t>
      </w:r>
      <w:r w:rsidRPr="001E7843">
        <w:rPr>
          <w:rFonts w:cstheme="minorHAnsi"/>
          <w:color w:val="212121"/>
          <w:sz w:val="18"/>
          <w:szCs w:val="18"/>
          <w:shd w:val="clear" w:color="auto" w:fill="FFFFFF"/>
          <w:lang w:val="uk-UA"/>
        </w:rPr>
        <w:t xml:space="preserve">рібні подряпини, не видимі з відстані 0,5 </w:t>
      </w:r>
      <w:r w:rsidRPr="00461044">
        <w:rPr>
          <w:rFonts w:cstheme="minorHAnsi"/>
          <w:sz w:val="18"/>
          <w:szCs w:val="18"/>
          <w:shd w:val="clear" w:color="auto" w:fill="FFFFFF"/>
          <w:lang w:val="uk-UA"/>
        </w:rPr>
        <w:t>м</w:t>
      </w:r>
      <w:r w:rsidRPr="001E7843">
        <w:rPr>
          <w:rFonts w:cstheme="minorHAnsi"/>
          <w:color w:val="212121"/>
          <w:sz w:val="18"/>
          <w:szCs w:val="18"/>
          <w:shd w:val="clear" w:color="auto" w:fill="FFFFFF"/>
          <w:lang w:val="uk-UA"/>
        </w:rPr>
        <w:t xml:space="preserve"> при фронтальному огляді протягом 5 секунд</w:t>
      </w:r>
      <w:r w:rsidR="00CF5844">
        <w:rPr>
          <w:rFonts w:cstheme="minorHAnsi"/>
          <w:color w:val="212121"/>
          <w:sz w:val="18"/>
          <w:szCs w:val="18"/>
          <w:shd w:val="clear" w:color="auto" w:fill="FFFFFF"/>
          <w:lang w:val="uk-UA"/>
        </w:rPr>
        <w:t xml:space="preserve">. </w:t>
      </w:r>
    </w:p>
    <w:sectPr w:rsidR="00CC6331" w:rsidRPr="001E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01A"/>
    <w:multiLevelType w:val="hybridMultilevel"/>
    <w:tmpl w:val="C81C8470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619"/>
    <w:multiLevelType w:val="hybridMultilevel"/>
    <w:tmpl w:val="7AD23338"/>
    <w:lvl w:ilvl="0" w:tplc="A4DC3D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A04"/>
    <w:multiLevelType w:val="hybridMultilevel"/>
    <w:tmpl w:val="66F4F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179B1"/>
    <w:multiLevelType w:val="hybridMultilevel"/>
    <w:tmpl w:val="0A6408C0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8480A"/>
    <w:multiLevelType w:val="hybridMultilevel"/>
    <w:tmpl w:val="E9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E9C"/>
    <w:multiLevelType w:val="hybridMultilevel"/>
    <w:tmpl w:val="634E0AC8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116D"/>
    <w:multiLevelType w:val="hybridMultilevel"/>
    <w:tmpl w:val="46F45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00D47"/>
    <w:multiLevelType w:val="hybridMultilevel"/>
    <w:tmpl w:val="387E9E10"/>
    <w:lvl w:ilvl="0" w:tplc="A4DC3D9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A48A1"/>
    <w:multiLevelType w:val="hybridMultilevel"/>
    <w:tmpl w:val="2B5E2B9C"/>
    <w:lvl w:ilvl="0" w:tplc="A4DC3D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6DC1"/>
    <w:multiLevelType w:val="hybridMultilevel"/>
    <w:tmpl w:val="C8E23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0649B"/>
    <w:multiLevelType w:val="hybridMultilevel"/>
    <w:tmpl w:val="D31EC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837178"/>
    <w:multiLevelType w:val="hybridMultilevel"/>
    <w:tmpl w:val="0EAC5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7BE2"/>
    <w:multiLevelType w:val="hybridMultilevel"/>
    <w:tmpl w:val="D8245A54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349"/>
    <w:multiLevelType w:val="hybridMultilevel"/>
    <w:tmpl w:val="74B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21044"/>
    <w:multiLevelType w:val="hybridMultilevel"/>
    <w:tmpl w:val="53FE9F7C"/>
    <w:lvl w:ilvl="0" w:tplc="A4DC3D90">
      <w:numFmt w:val="bullet"/>
      <w:lvlText w:val="•"/>
      <w:lvlJc w:val="left"/>
      <w:pPr>
        <w:ind w:left="1634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 w15:restartNumberingAfterBreak="0">
    <w:nsid w:val="6AB274ED"/>
    <w:multiLevelType w:val="hybridMultilevel"/>
    <w:tmpl w:val="DDA24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604C8"/>
    <w:multiLevelType w:val="hybridMultilevel"/>
    <w:tmpl w:val="8340C31A"/>
    <w:lvl w:ilvl="0" w:tplc="5B320358">
      <w:numFmt w:val="bullet"/>
      <w:lvlText w:val="•"/>
      <w:lvlJc w:val="left"/>
      <w:pPr>
        <w:ind w:left="127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0"/>
    <w:rsid w:val="000271B9"/>
    <w:rsid w:val="0009625C"/>
    <w:rsid w:val="00134DE3"/>
    <w:rsid w:val="001846B7"/>
    <w:rsid w:val="001B3322"/>
    <w:rsid w:val="001E7843"/>
    <w:rsid w:val="001F5071"/>
    <w:rsid w:val="002D766D"/>
    <w:rsid w:val="002F444F"/>
    <w:rsid w:val="00461044"/>
    <w:rsid w:val="0054537E"/>
    <w:rsid w:val="00605F6B"/>
    <w:rsid w:val="006272EB"/>
    <w:rsid w:val="006631B4"/>
    <w:rsid w:val="00704550"/>
    <w:rsid w:val="00AC2EC3"/>
    <w:rsid w:val="00AF2B4A"/>
    <w:rsid w:val="00B703D7"/>
    <w:rsid w:val="00BB403A"/>
    <w:rsid w:val="00C31E22"/>
    <w:rsid w:val="00C8446D"/>
    <w:rsid w:val="00CC6331"/>
    <w:rsid w:val="00CF5844"/>
    <w:rsid w:val="00D13BA3"/>
    <w:rsid w:val="00D20D28"/>
    <w:rsid w:val="00D51D9C"/>
    <w:rsid w:val="00F40278"/>
    <w:rsid w:val="00F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9255-7587-4571-8BB1-2882B561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62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BE8C-B4CD-4C64-BA1D-B1548845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79A7660C.dotm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Юнак Анастасия</dc:creator>
  <cp:lastModifiedBy>Пергаменщик Никита</cp:lastModifiedBy>
  <cp:revision>2</cp:revision>
  <cp:lastPrinted>2019-04-08T12:13:00Z</cp:lastPrinted>
  <dcterms:created xsi:type="dcterms:W3CDTF">2019-04-12T12:43:00Z</dcterms:created>
  <dcterms:modified xsi:type="dcterms:W3CDTF">2019-04-12T12:43:00Z</dcterms:modified>
</cp:coreProperties>
</file>